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国青年科普创新实验暨作品大赛新疆赛区赛事方案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华文仿宋" w:eastAsia="黑体" w:cs="仿宋_GB2312"/>
          <w:color w:val="000000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华文仿宋" w:eastAsia="黑体" w:cs="仿宋_GB2312"/>
          <w:color w:val="000000"/>
          <w:sz w:val="32"/>
          <w:szCs w:val="32"/>
        </w:rPr>
      </w:pPr>
      <w:r>
        <w:rPr>
          <w:rFonts w:hint="eastAsia" w:ascii="黑体" w:hAnsi="华文仿宋" w:eastAsia="黑体" w:cs="仿宋_GB2312"/>
          <w:color w:val="000000"/>
          <w:sz w:val="32"/>
          <w:szCs w:val="32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为贯彻落实《中华人民共和国科学技术普及法》《全民科学素质行动规划纲要（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035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年）》《关于进一步减轻义务教育阶段学生作业负担和校外培训负担的意见》《关于新时代进一步加强科学技术普及工作的意见》，动员和激励广大青年学生参与科普创作，扩大科普活动的社会影响力，树立品牌，整合资源，促进科学思想、科学精神、科学方法和科学知识的传播和普及，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2013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年起，全国青年科普创新实验暨作品大赛（以下简称大赛)已成功举办八届，在全国各大中专院校及中学产生了广泛而深远的影响。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为更好地落实《中华人民共和国国民经济和社会发展第十四个五年规划纲要》关于科技创新要“面向世界科技前沿、面向经济主战场、面向国家重大需求、面向人民生命健康”，以及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《全民科学素质行动规划纲要（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2035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年）》中“</w:t>
      </w:r>
      <w:r>
        <w:rPr>
          <w:rFonts w:hint="eastAsia" w:ascii="仿宋_GB2312" w:eastAsia="仿宋_GB2312"/>
          <w:sz w:val="32"/>
          <w:szCs w:val="32"/>
        </w:rPr>
        <w:t>激发青少年好奇心和想象力，增强科学兴趣、创新意识和创新能力”</w:t>
      </w:r>
      <w:r>
        <w:rPr>
          <w:rFonts w:hint="eastAsia" w:eastAsia="仿宋_GB2312"/>
          <w:sz w:val="32"/>
          <w:szCs w:val="32"/>
        </w:rPr>
        <w:t>的相关要求，</w:t>
      </w:r>
      <w:r>
        <w:rPr>
          <w:rFonts w:hint="eastAsia" w:ascii="Times New Roman" w:hAnsi="Times New Roman" w:eastAsia="仿宋_GB2312"/>
          <w:sz w:val="32"/>
          <w:szCs w:val="32"/>
        </w:rPr>
        <w:t>第九届大赛重点围</w:t>
      </w:r>
      <w:r>
        <w:rPr>
          <w:rFonts w:hint="eastAsia" w:eastAsia="仿宋_GB2312"/>
          <w:sz w:val="32"/>
          <w:szCs w:val="32"/>
        </w:rPr>
        <w:t>绕“智慧·安全·环保”三</w:t>
      </w:r>
      <w:r>
        <w:rPr>
          <w:rFonts w:hint="eastAsia" w:ascii="Times New Roman" w:hAnsi="Times New Roman" w:eastAsia="仿宋_GB2312"/>
          <w:sz w:val="32"/>
          <w:szCs w:val="32"/>
        </w:rPr>
        <w:t>大主题，关注前沿科学技术、公共安全健康等领域的科研应用与普及，考查青少年</w:t>
      </w:r>
      <w:r>
        <w:rPr>
          <w:rFonts w:hint="eastAsia" w:eastAsia="仿宋_GB2312"/>
          <w:sz w:val="32"/>
          <w:szCs w:val="32"/>
        </w:rPr>
        <w:t>发</w:t>
      </w:r>
      <w:r>
        <w:rPr>
          <w:rFonts w:hint="eastAsia" w:ascii="Times New Roman" w:hAnsi="Times New Roman" w:eastAsia="仿宋_GB2312"/>
          <w:sz w:val="32"/>
          <w:szCs w:val="32"/>
        </w:rPr>
        <w:t>现问题、解决问题及动手实践能力。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华文仿宋" w:eastAsia="黑体" w:cs="仿宋_GB2312"/>
          <w:color w:val="000000"/>
          <w:sz w:val="32"/>
          <w:szCs w:val="32"/>
        </w:rPr>
      </w:pPr>
      <w:r>
        <w:rPr>
          <w:rFonts w:hint="eastAsia" w:ascii="黑体" w:hAnsi="华文仿宋" w:eastAsia="黑体" w:cs="仿宋_GB2312"/>
          <w:color w:val="000000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主办单位：中国科学技术协会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承办单位：中国科学技术馆、</w:t>
      </w:r>
      <w:r>
        <w:rPr>
          <w:rFonts w:hint="eastAsia" w:ascii="仿宋_GB2312" w:hAnsi="华文仿宋" w:eastAsia="仿宋_GB2312" w:cs="仿宋_GB2312"/>
          <w:color w:val="000000"/>
          <w:spacing w:val="-20"/>
          <w:sz w:val="32"/>
          <w:szCs w:val="32"/>
        </w:rPr>
        <w:t>中国科协青少年科技中心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公益合作组织：中国科技馆发展基金会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华文仿宋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新疆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赛区主办单位：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自治区科协、自治区教育厅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华文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新疆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赛区承办单位：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新疆科技馆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参赛对象分为两类。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第一类为中学生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参赛对象为全国普通中学在校学生，包括初中、中专、技校、高中等。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第二类为大学生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参赛对象为全国高校在校学生，包括高职、大专、本科、研究生等。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每支参赛队伍由参赛选手和指导老师组成。其中，每支队伍的参赛选手人数根据不同命题而不同。初赛、复赛队伍指导老师需为学校指导老师，每个队伍最多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名；晋级决赛队伍如有赛区承办单位老师参与指导，可增加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名赛区指导老师，每位赛区指导老师最多指导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支队伍。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赛制设置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大赛设“创意作品”和“科普实验”两类项目。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1.创意作品项目：</w:t>
      </w:r>
      <w:r>
        <w:rPr>
          <w:rFonts w:hint="eastAsia" w:ascii="仿宋_GB2312" w:hAnsi="Times New Roman" w:eastAsia="仿宋_GB2312"/>
          <w:sz w:val="32"/>
          <w:szCs w:val="32"/>
        </w:rPr>
        <w:t>突出发现和解决实际问题的能力，设置“智慧社区”主题，鼓励学生在智慧社区建设相关背景下发现身边问题，并提出解决方案，设计系统模型，创作相关作品。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sz w:val="32"/>
          <w:szCs w:val="32"/>
        </w:rPr>
        <w:t>科普实验项目：</w:t>
      </w:r>
      <w:r>
        <w:rPr>
          <w:rFonts w:hint="eastAsia" w:ascii="仿宋_GB2312" w:hAnsi="Times New Roman" w:eastAsia="仿宋_GB2312"/>
          <w:sz w:val="32"/>
          <w:szCs w:val="32"/>
        </w:rPr>
        <w:t>突出任务驱动，将竞赛与科普活动紧密结合，设置“未来太空车”主题，引导学生面向未来，利用指定材料，自行设计并搭建装置，在指定区域完成预设的任务。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128"/>
        <w:gridCol w:w="1507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黑体"/>
                <w:sz w:val="24"/>
                <w:szCs w:val="24"/>
              </w:rPr>
            </w:pPr>
            <w:r>
              <w:rPr>
                <w:rFonts w:hint="eastAsia" w:ascii="仿宋_GB2312" w:eastAsia="黑体"/>
                <w:sz w:val="24"/>
                <w:szCs w:val="24"/>
              </w:rPr>
              <w:t>项目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黑体"/>
                <w:sz w:val="24"/>
                <w:szCs w:val="24"/>
              </w:rPr>
            </w:pPr>
            <w:r>
              <w:rPr>
                <w:rFonts w:hint="eastAsia" w:ascii="仿宋_GB2312" w:eastAsia="黑体"/>
                <w:sz w:val="24"/>
                <w:szCs w:val="24"/>
              </w:rPr>
              <w:t>主题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黑体"/>
                <w:sz w:val="24"/>
                <w:szCs w:val="24"/>
              </w:rPr>
            </w:pPr>
            <w:r>
              <w:rPr>
                <w:rFonts w:hint="eastAsia" w:ascii="仿宋_GB2312" w:eastAsia="黑体"/>
                <w:sz w:val="24"/>
                <w:szCs w:val="24"/>
              </w:rPr>
              <w:t>组别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黑体"/>
                <w:sz w:val="24"/>
                <w:szCs w:val="24"/>
              </w:rPr>
            </w:pPr>
            <w:r>
              <w:rPr>
                <w:rFonts w:hint="eastAsia" w:ascii="仿宋_GB2312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创意作品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智慧社区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"/>
              </w:rPr>
              <w:t>大学组</w:t>
            </w:r>
          </w:p>
        </w:tc>
        <w:tc>
          <w:tcPr>
            <w:tcW w:w="3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以智慧社区为背景，鼓励学生围绕家居生活、社区服务等方面，发现生活中的实际问题，并利用人工智能、物联网相关技术创作作品，解决问题，实现既定目标。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"/>
              </w:rPr>
              <w:t>中学组</w:t>
            </w:r>
          </w:p>
        </w:tc>
        <w:tc>
          <w:tcPr>
            <w:tcW w:w="3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仿宋_GB2312" w:hAnsi="宋体" w:eastAsia="仿宋_GB2312"/>
                <w:sz w:val="24"/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科普实验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未来太空车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中学组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以太空探索为背景，鼓励学生利用科技手段和创新思维，面向未来开展创意实验设计，利用指定动力系统，自选材料制作装置，在赛道上完成行驶和攀爬等指定任务。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Times New Roman" w:eastAsia="楷体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（二）赛程设置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本次新疆赛区赛事包括初赛和复赛两个环节，由新疆科技馆承办，负责具体组织实施。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初赛，各参赛队伍按要求线上提交作品（方案、设计文件、视频等）至大赛指定网站，并由新疆科技馆组织专家组对提交的作品进行评审，评比出进入复赛队伍。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复赛，由新疆科技馆组织线下赛事，进入复赛的参赛者根据比赛单元的不同以作品陈述、现场答辩、现场实验制作等形式开展比赛，最终由专家评选出各命题优秀作品，参加全国总决赛。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（三）入围和晋级原则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1.入围原则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每类项目各组别根据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赛区参赛作品总数占相应项目该组别全国参赛作品总数的比例，确定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赛区各项目各组别入围作品的数量。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各项目各组别按照复赛成绩排名，最多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项作品入围全国总决赛。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2.晋级原则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（1）创意作品项目：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各组别晋级作品由两部分组成：一是直接晋级，各组别入围排名第一的作品直接晋级全国总决赛；二是评选晋级，各组别入围的其他作品，须按要求提交书面材料，由评审专家团队按照各组别决赛规则进行评选后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赛区各组别最多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项作品晋级全国总决赛。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科普实验项目：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赛区晋级数量根据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赛区参赛作品总数占全国参赛作品总数的比例确定，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赛区最多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项作品晋级全国总决赛。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决赛奖项设置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各项目参赛作品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赛区各项目各组别按照复赛成绩排名，最多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项作品入围全国总决赛，其中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color w:val="000000"/>
          <w:spacing w:val="6"/>
          <w:sz w:val="32"/>
          <w:szCs w:val="32"/>
          <w:shd w:val="clear" w:color="auto" w:fill="FFFFFF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项作品晋级全国总决赛，未晋级的作品获入围奖。入围奖作品不参加决赛评审。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所有晋级作品通过实验制作、作品演示或现场答辩等形式确定比赛成绩，各项目各组别按晋级作品总数的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10%、20%、30%</w:t>
      </w:r>
      <w:r>
        <w:rPr>
          <w:rFonts w:hint="default" w:ascii="仿宋_GB2312" w:eastAsia="仿宋_GB2312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40%设</w:t>
      </w:r>
      <w:r>
        <w:rPr>
          <w:rFonts w:hint="eastAsia" w:ascii="仿宋_GB2312" w:eastAsia="仿宋_GB2312"/>
          <w:sz w:val="32"/>
          <w:szCs w:val="32"/>
        </w:rPr>
        <w:t>置一、二、三等奖和优秀奖。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各项目各组别设专项奖若干，总数不超过该项目该组别晋级作品总数的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以上获奖作品由大赛主办单位颁发证书。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优秀指导教师奖：所有决赛获得一、二、三等奖队伍的指导老师均可获得优秀指导教师奖。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优秀组织奖：大赛主办单位根据各赛区组织比赛情况，评选优秀组织奖。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初赛和复赛奖项设置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初赛不设置奖项，</w:t>
      </w:r>
      <w:r>
        <w:rPr>
          <w:rFonts w:hint="eastAsia" w:ascii="仿宋_GB2312" w:eastAsia="仿宋_GB2312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晋级复赛</w:t>
      </w:r>
      <w:r>
        <w:rPr>
          <w:rFonts w:hint="eastAsia" w:ascii="仿宋_GB2312" w:eastAsia="仿宋_GB2312"/>
          <w:sz w:val="32"/>
          <w:szCs w:val="32"/>
        </w:rPr>
        <w:t>作品通过实验制作、作品演示或现场答辩等形式确定比赛成绩，各项目各组别按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复赛</w:t>
      </w:r>
      <w:r>
        <w:rPr>
          <w:rFonts w:hint="eastAsia" w:ascii="仿宋_GB2312" w:eastAsia="仿宋_GB2312"/>
          <w:sz w:val="32"/>
          <w:szCs w:val="32"/>
        </w:rPr>
        <w:t>作品总数的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10%、20%、30%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40%</w:t>
      </w:r>
      <w:r>
        <w:rPr>
          <w:rFonts w:hint="eastAsia" w:ascii="仿宋_GB2312" w:eastAsia="仿宋_GB2312"/>
          <w:sz w:val="32"/>
          <w:szCs w:val="32"/>
        </w:rPr>
        <w:t>设置一、二、三等奖和优秀奖。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六、赛事安排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（一）比赛前期相关筹备工作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1.制定并推进大赛方案；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2.召开馆内工作协调会议，成立赛事会务组，监审委员会，部署各项工作内容。确定责任分工明细；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3.发布比赛通知；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邀请比赛嘉宾及评委。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（二）进度安排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1.</w:t>
      </w:r>
      <w:r>
        <w:rPr>
          <w:rStyle w:val="2"/>
          <w:rFonts w:hint="eastAsia" w:ascii="楷体" w:hAnsi="楷体" w:eastAsia="楷体" w:cs="楷体"/>
          <w:sz w:val="32"/>
          <w:szCs w:val="32"/>
        </w:rPr>
        <w:t>启动阶段：202</w:t>
      </w:r>
      <w:r>
        <w:rPr>
          <w:rStyle w:val="2"/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Style w:val="2"/>
          <w:rFonts w:hint="eastAsia" w:ascii="楷体" w:hAnsi="楷体" w:eastAsia="楷体" w:cs="楷体"/>
          <w:sz w:val="32"/>
          <w:szCs w:val="32"/>
        </w:rPr>
        <w:t>年</w:t>
      </w:r>
      <w:r>
        <w:rPr>
          <w:rStyle w:val="2"/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</w:t>
      </w:r>
      <w:r>
        <w:rPr>
          <w:rStyle w:val="2"/>
          <w:rFonts w:hint="eastAsia" w:ascii="楷体" w:hAnsi="楷体" w:eastAsia="楷体" w:cs="楷体"/>
          <w:sz w:val="32"/>
          <w:szCs w:val="32"/>
          <w:lang w:val="en-US" w:eastAsia="zh-CN"/>
        </w:rPr>
        <w:t>月。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</w:rPr>
        <w:t>发布大赛通知和方案，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  <w:lang w:eastAsia="zh-CN"/>
        </w:rPr>
        <w:t>发布比赛通知、大赛赛题、赛制等相关文件。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Style w:val="2"/>
          <w:rFonts w:hint="eastAsia" w:ascii="楷体" w:hAnsi="楷体" w:eastAsia="楷体" w:cs="楷体"/>
          <w:sz w:val="32"/>
          <w:szCs w:val="32"/>
          <w:lang w:eastAsia="zh-CN"/>
        </w:rPr>
        <w:t>初赛阶段：</w:t>
      </w:r>
      <w:r>
        <w:rPr>
          <w:rStyle w:val="2"/>
          <w:rFonts w:hint="eastAsia" w:ascii="楷体" w:hAnsi="楷体" w:eastAsia="楷体" w:cs="楷体"/>
          <w:sz w:val="32"/>
          <w:szCs w:val="32"/>
          <w:lang w:val="en-US" w:eastAsia="zh-CN"/>
        </w:rPr>
        <w:t>2023年</w:t>
      </w:r>
      <w:r>
        <w:rPr>
          <w:rStyle w:val="2"/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000000"/>
          <w:spacing w:val="6"/>
          <w:sz w:val="32"/>
          <w:szCs w:val="32"/>
          <w:shd w:val="clear" w:color="auto" w:fill="FFFFFF"/>
        </w:rPr>
        <w:t>-</w:t>
      </w:r>
      <w:r>
        <w:rPr>
          <w:rStyle w:val="2"/>
          <w:rFonts w:hint="default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Style w:val="2"/>
          <w:rFonts w:hint="eastAsia" w:ascii="楷体" w:hAnsi="楷体" w:eastAsia="楷体" w:cs="楷体"/>
          <w:sz w:val="32"/>
          <w:szCs w:val="32"/>
          <w:lang w:val="en-US" w:eastAsia="zh-CN"/>
        </w:rPr>
        <w:t>月。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新疆赛区组织动员在校学生广泛参与初赛。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Style w:val="2"/>
          <w:rFonts w:hint="eastAsia" w:ascii="楷体" w:hAnsi="楷体" w:eastAsia="楷体" w:cs="楷体"/>
          <w:sz w:val="32"/>
          <w:szCs w:val="32"/>
        </w:rPr>
        <w:t>复赛阶段：202</w:t>
      </w:r>
      <w:r>
        <w:rPr>
          <w:rStyle w:val="2"/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Style w:val="2"/>
          <w:rFonts w:hint="eastAsia" w:ascii="楷体" w:hAnsi="楷体" w:eastAsia="楷体" w:cs="楷体"/>
          <w:sz w:val="32"/>
          <w:szCs w:val="32"/>
        </w:rPr>
        <w:t>年</w:t>
      </w:r>
      <w:r>
        <w:rPr>
          <w:rStyle w:val="2"/>
          <w:rFonts w:hint="default" w:ascii="Times New Roman" w:hAnsi="Times New Roman" w:eastAsia="楷体" w:cs="Times New Roman"/>
          <w:sz w:val="32"/>
          <w:szCs w:val="32"/>
        </w:rPr>
        <w:t>5</w:t>
      </w:r>
      <w:r>
        <w:rPr>
          <w:rStyle w:val="2"/>
          <w:rFonts w:hint="eastAsia" w:ascii="楷体" w:hAnsi="楷体" w:eastAsia="楷体" w:cs="楷体"/>
          <w:sz w:val="32"/>
          <w:szCs w:val="32"/>
        </w:rPr>
        <w:t>月</w:t>
      </w:r>
      <w:r>
        <w:rPr>
          <w:rStyle w:val="2"/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新疆科技馆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</w:rPr>
        <w:t>组织复赛，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  <w:lang w:eastAsia="zh-CN"/>
        </w:rPr>
        <w:t>评选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</w:rPr>
        <w:t>出晋级决赛的代表作品。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Style w:val="2"/>
          <w:rFonts w:hint="eastAsia" w:ascii="楷体" w:hAnsi="楷体" w:eastAsia="楷体" w:cs="楷体"/>
          <w:sz w:val="32"/>
          <w:szCs w:val="32"/>
        </w:rPr>
        <w:t>决赛阶段：202</w:t>
      </w:r>
      <w:r>
        <w:rPr>
          <w:rStyle w:val="2"/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Style w:val="2"/>
          <w:rFonts w:hint="eastAsia" w:ascii="楷体" w:hAnsi="楷体" w:eastAsia="楷体" w:cs="楷体"/>
          <w:sz w:val="32"/>
          <w:szCs w:val="32"/>
        </w:rPr>
        <w:t>年</w:t>
      </w:r>
      <w:r>
        <w:rPr>
          <w:rStyle w:val="2"/>
          <w:rFonts w:hint="default" w:ascii="Times New Roman" w:hAnsi="Times New Roman" w:eastAsia="楷体" w:cs="Times New Roman"/>
          <w:sz w:val="32"/>
          <w:szCs w:val="32"/>
        </w:rPr>
        <w:t>6</w:t>
      </w:r>
      <w:r>
        <w:rPr>
          <w:rFonts w:hint="default" w:ascii="Times New Roman" w:hAnsi="Times New Roman" w:eastAsia="楷体" w:cs="Times New Roman"/>
          <w:color w:val="000000"/>
          <w:spacing w:val="6"/>
          <w:sz w:val="32"/>
          <w:szCs w:val="32"/>
          <w:shd w:val="clear" w:color="auto" w:fill="FFFFFF"/>
        </w:rPr>
        <w:t>-</w:t>
      </w:r>
      <w:r>
        <w:rPr>
          <w:rStyle w:val="2"/>
          <w:rFonts w:hint="default" w:ascii="Times New Roman" w:hAnsi="Times New Roman" w:eastAsia="楷体" w:cs="Times New Roman"/>
          <w:sz w:val="32"/>
          <w:szCs w:val="32"/>
          <w:lang w:val="en-US" w:eastAsia="zh-CN"/>
        </w:rPr>
        <w:t>8</w:t>
      </w:r>
      <w:r>
        <w:rPr>
          <w:rStyle w:val="2"/>
          <w:rFonts w:hint="eastAsia" w:ascii="楷体" w:hAnsi="楷体" w:eastAsia="楷体" w:cs="楷体"/>
          <w:sz w:val="32"/>
          <w:szCs w:val="32"/>
        </w:rPr>
        <w:t>月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中国科学技术馆</w:t>
      </w:r>
      <w:r>
        <w:rPr>
          <w:rStyle w:val="2"/>
          <w:rFonts w:hint="eastAsia" w:ascii="仿宋_GB2312" w:hAnsi="仿宋_GB2312" w:eastAsia="仿宋_GB2312" w:cs="仿宋_GB2312"/>
          <w:sz w:val="32"/>
          <w:szCs w:val="32"/>
        </w:rPr>
        <w:t>举行全国总决赛。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七、赛事宣传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2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宣传管道，提升大赛影响力。采用线下多报道、线上多媒体宣传、多平台直播的方式，强化宣传力度。多方面协调电视、平面、广播、网络等宣传媒体，开通专项网站，开辟论坛增加赛前的互动交流，通过新疆科技馆微信平台进行持续宣传，以及借助地方科技馆及学校传播平台进行宣传报道。与此同时，通过视频、海报等形式传播优秀选手大赛经验，鼓励以老带新、以高年级带动低年级，形成科普型社群和队伍，扩大比赛的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八、纪律监督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2"/>
          <w:rFonts w:hint="eastAsia" w:ascii="仿宋_GB2312" w:hAnsi="仿宋_GB2312" w:eastAsia="仿宋_GB2312" w:cs="仿宋_GB2312"/>
          <w:sz w:val="32"/>
          <w:szCs w:val="40"/>
        </w:rPr>
      </w:pPr>
      <w:r>
        <w:rPr>
          <w:rStyle w:val="2"/>
          <w:rFonts w:hint="eastAsia" w:ascii="仿宋_GB2312" w:hAnsi="仿宋_GB2312" w:eastAsia="仿宋_GB2312" w:cs="仿宋_GB2312"/>
          <w:sz w:val="32"/>
          <w:szCs w:val="40"/>
        </w:rPr>
        <w:t>监审委员会对大赛全程进行监督，包括程序合理性、评审公正性等内容。在大赛实施过程中，如发现大赛比赛期间出现违纪违规行为，或者接到投诉或问题的反映，监审委员会应及吋调查并协调解决</w:t>
      </w:r>
      <w:r>
        <w:rPr>
          <w:rStyle w:val="2"/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确保大赛公平公正。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各地州市科协、教育局，各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高校科协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，有关区直属中学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应高度重视大赛组织工作，切实做好辖区内相关学校的组织发动，广泛开展辖区内大赛的宣传推广工作。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各学校做好学生的组织动员工作，做好参赛队伍的培训指导；各参赛队伍要积极备赛，自主创作完成参赛作品。</w:t>
      </w:r>
    </w:p>
    <w:p/>
    <w:sectPr>
      <w:pgSz w:w="11906" w:h="16838"/>
      <w:pgMar w:top="2098" w:right="1587" w:bottom="158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arigold">
    <w:panose1 w:val="03020702040402020504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Goudy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Palatino"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Univers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47A2"/>
    <w:multiLevelType w:val="singleLevel"/>
    <w:tmpl w:val="36F947A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3B850DA"/>
    <w:multiLevelType w:val="singleLevel"/>
    <w:tmpl w:val="53B850D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5E7B"/>
    <w:rsid w:val="29115E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2023-03-09T04:05:00Z</dcterms:created>
  <dc:creator>Administrator</dc:creator>
  <cp:lastModifiedBy>Administrator</cp:lastModifiedBy>
  <dcterms:modified xsi:type="dcterms:W3CDTF">2023-03-09T04:06:16Z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